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93355A" w:rsidTr="0093355A">
        <w:trPr>
          <w:tblCellSpacing w:w="0" w:type="dxa"/>
        </w:trPr>
        <w:tc>
          <w:tcPr>
            <w:tcW w:w="0" w:type="auto"/>
            <w:tcMar>
              <w:top w:w="225" w:type="dxa"/>
              <w:left w:w="0" w:type="dxa"/>
              <w:bottom w:w="225" w:type="dxa"/>
              <w:right w:w="0" w:type="dxa"/>
            </w:tcMar>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9026"/>
            </w:tblGrid>
            <w:tr w:rsidR="0093355A">
              <w:trPr>
                <w:tblCellSpacing w:w="0" w:type="dxa"/>
                <w:jc w:val="center"/>
              </w:trPr>
              <w:tc>
                <w:tcPr>
                  <w:tcW w:w="0" w:type="auto"/>
                  <w:tcMar>
                    <w:top w:w="0" w:type="dxa"/>
                    <w:left w:w="0" w:type="dxa"/>
                    <w:bottom w:w="150" w:type="dxa"/>
                    <w:right w:w="0" w:type="dxa"/>
                  </w:tcMar>
                  <w:vAlign w:val="center"/>
                  <w:hideMark/>
                </w:tcPr>
                <w:p w:rsidR="0093355A" w:rsidRDefault="0093355A">
                  <w:pPr>
                    <w:jc w:val="center"/>
                    <w:rPr>
                      <w:rFonts w:ascii="Arial" w:hAnsi="Arial" w:cs="Arial"/>
                      <w:sz w:val="18"/>
                      <w:szCs w:val="18"/>
                    </w:rPr>
                  </w:pPr>
                  <w:r>
                    <w:rPr>
                      <w:rFonts w:ascii="Arial" w:hAnsi="Arial" w:cs="Arial"/>
                      <w:noProof/>
                      <w:color w:val="0000FF"/>
                      <w:sz w:val="18"/>
                      <w:szCs w:val="18"/>
                    </w:rPr>
                    <w:drawing>
                      <wp:inline distT="0" distB="0" distL="0" distR="0">
                        <wp:extent cx="5905500" cy="1209675"/>
                        <wp:effectExtent l="0" t="0" r="0" b="9525"/>
                        <wp:docPr id="6" name="그림 6" descr="MUSE ALER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 AL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209675"/>
                                </a:xfrm>
                                <a:prstGeom prst="rect">
                                  <a:avLst/>
                                </a:prstGeom>
                                <a:noFill/>
                                <a:ln>
                                  <a:noFill/>
                                </a:ln>
                              </pic:spPr>
                            </pic:pic>
                          </a:graphicData>
                        </a:graphic>
                      </wp:inline>
                    </w:drawing>
                  </w:r>
                </w:p>
              </w:tc>
            </w:tr>
            <w:tr w:rsidR="0093355A">
              <w:trPr>
                <w:tblCellSpacing w:w="0" w:type="dxa"/>
                <w:jc w:val="center"/>
              </w:trPr>
              <w:tc>
                <w:tcPr>
                  <w:tcW w:w="0" w:type="auto"/>
                  <w:hideMark/>
                </w:tcPr>
                <w:tbl>
                  <w:tblPr>
                    <w:tblW w:w="9600" w:type="dxa"/>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tcMar>
                          <w:top w:w="0" w:type="dxa"/>
                          <w:left w:w="0" w:type="dxa"/>
                          <w:bottom w:w="150" w:type="dxa"/>
                          <w:right w:w="0" w:type="dxa"/>
                        </w:tcMar>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tcMar>
                                            <w:top w:w="75" w:type="dxa"/>
                                            <w:left w:w="75" w:type="dxa"/>
                                            <w:bottom w:w="75" w:type="dxa"/>
                                            <w:right w:w="75" w:type="dxa"/>
                                          </w:tcMar>
                                        </w:tcPr>
                                        <w:p w:rsidR="0093355A" w:rsidRDefault="0093355A">
                                          <w:pPr>
                                            <w:pStyle w:val="1"/>
                                            <w:spacing w:line="360" w:lineRule="atLeast"/>
                                            <w:jc w:val="center"/>
                                          </w:pPr>
                                          <w:hyperlink r:id="rId6" w:tooltip="Free Resources on MUSE During COVID-19" w:history="1">
                                            <w:r>
                                              <w:rPr>
                                                <w:rStyle w:val="e2ma-style"/>
                                                <w:rFonts w:ascii="Trebuchet MS" w:hAnsi="Trebuchet MS"/>
                                                <w:b/>
                                                <w:bCs/>
                                                <w:color w:val="236ECE"/>
                                                <w:sz w:val="30"/>
                                                <w:szCs w:val="30"/>
                                                <w:u w:val="single"/>
                                              </w:rPr>
                                              <w:t>PUBLISHERS PROVIDE SCHOLARLY CONTENT FREE</w:t>
                                            </w:r>
                                          </w:hyperlink>
                                        </w:p>
                                        <w:p w:rsidR="0093355A" w:rsidRDefault="0093355A">
                                          <w:pPr>
                                            <w:pStyle w:val="1"/>
                                            <w:spacing w:line="360" w:lineRule="atLeast"/>
                                            <w:jc w:val="center"/>
                                          </w:pPr>
                                          <w:hyperlink r:id="rId7" w:tooltip="Free Resources on MUSE During COVID-19" w:history="1">
                                            <w:r>
                                              <w:rPr>
                                                <w:rStyle w:val="e2ma-style"/>
                                                <w:rFonts w:ascii="Trebuchet MS" w:hAnsi="Trebuchet MS"/>
                                                <w:b/>
                                                <w:bCs/>
                                                <w:color w:val="236ECE"/>
                                                <w:sz w:val="30"/>
                                                <w:szCs w:val="30"/>
                                                <w:u w:val="single"/>
                                              </w:rPr>
                                              <w:t>ON PROJECT MUSE DURING COVID-19 CRISIS</w:t>
                                            </w:r>
                                          </w:hyperlink>
                                        </w:p>
                                        <w:p w:rsidR="0093355A" w:rsidRDefault="0093355A">
                                          <w:pPr>
                                            <w:rPr>
                                              <w:rFonts w:ascii="Arial" w:hAnsi="Arial" w:cs="Arial"/>
                                              <w:color w:val="333333"/>
                                              <w:sz w:val="20"/>
                                              <w:szCs w:val="20"/>
                                            </w:rPr>
                                          </w:pPr>
                                        </w:p>
                                        <w:p w:rsidR="0093355A" w:rsidRDefault="0093355A">
                                          <w:pPr>
                                            <w:rPr>
                                              <w:rFonts w:ascii="Arial" w:hAnsi="Arial" w:cs="Arial"/>
                                              <w:color w:val="333333"/>
                                              <w:sz w:val="20"/>
                                              <w:szCs w:val="20"/>
                                            </w:rPr>
                                          </w:pPr>
                                          <w:r>
                                            <w:rPr>
                                              <w:rFonts w:ascii="Arial" w:hAnsi="Arial" w:cs="Arial"/>
                                              <w:color w:val="333333"/>
                                              <w:sz w:val="20"/>
                                              <w:szCs w:val="20"/>
                                            </w:rPr>
                                            <w:t>In response to the challenges created by the global public health crisis of COVID-19, Project MUSE is pleased to support its participating publishers in making scholarly content temporarily available for free on our platform. With many higher education institutions moving into an exclusively online learning environment for the foreseeable future, we hope that easy access to vetted research in the humanities and social sciences, from a variety of distinguished university presses, societies, and related not-for-profit publishers, will help to support teaching, learning, and knowledge discovery for users worldwide.</w:t>
                                          </w:r>
                                        </w:p>
                                        <w:p w:rsidR="0093355A" w:rsidRDefault="0093355A">
                                          <w:pPr>
                                            <w:rPr>
                                              <w:rFonts w:ascii="Arial" w:hAnsi="Arial" w:cs="Arial"/>
                                              <w:color w:val="333333"/>
                                              <w:sz w:val="20"/>
                                              <w:szCs w:val="20"/>
                                            </w:rPr>
                                          </w:pPr>
                                          <w:bookmarkStart w:id="0" w:name="_GoBack"/>
                                          <w:bookmarkEnd w:id="0"/>
                                          <w:r>
                                            <w:rPr>
                                              <w:rFonts w:ascii="Arial" w:hAnsi="Arial" w:cs="Arial"/>
                                              <w:color w:val="333333"/>
                                              <w:sz w:val="20"/>
                                              <w:szCs w:val="20"/>
                                            </w:rPr>
                                            <w:br/>
                                            <w:t xml:space="preserve">Among the publishers currently opting to make content free on Project MUSE are </w:t>
                                          </w:r>
                                          <w:r>
                                            <w:rPr>
                                              <w:rStyle w:val="a4"/>
                                              <w:rFonts w:ascii="Arial" w:hAnsi="Arial" w:cs="Arial"/>
                                              <w:color w:val="333333"/>
                                              <w:sz w:val="20"/>
                                              <w:szCs w:val="20"/>
                                            </w:rPr>
                                            <w:t>Johns Hopkins University Press</w:t>
                                          </w:r>
                                          <w:r>
                                            <w:rPr>
                                              <w:rFonts w:ascii="Arial" w:hAnsi="Arial" w:cs="Arial"/>
                                              <w:color w:val="333333"/>
                                              <w:sz w:val="20"/>
                                              <w:szCs w:val="20"/>
                                            </w:rPr>
                                            <w:t xml:space="preserve"> (all books and journals), </w:t>
                                          </w:r>
                                          <w:r>
                                            <w:rPr>
                                              <w:rStyle w:val="a4"/>
                                              <w:rFonts w:ascii="Arial" w:hAnsi="Arial" w:cs="Arial"/>
                                              <w:color w:val="333333"/>
                                              <w:sz w:val="20"/>
                                              <w:szCs w:val="20"/>
                                            </w:rPr>
                                            <w:t>Ohio State University Press</w:t>
                                          </w:r>
                                          <w:r>
                                            <w:rPr>
                                              <w:rFonts w:ascii="Arial" w:hAnsi="Arial" w:cs="Arial"/>
                                              <w:color w:val="333333"/>
                                              <w:sz w:val="20"/>
                                              <w:szCs w:val="20"/>
                                            </w:rPr>
                                            <w:t xml:space="preserve"> (all books and journals), </w:t>
                                          </w:r>
                                          <w:r>
                                            <w:rPr>
                                              <w:rStyle w:val="a4"/>
                                              <w:rFonts w:ascii="Arial" w:hAnsi="Arial" w:cs="Arial"/>
                                              <w:color w:val="333333"/>
                                              <w:sz w:val="20"/>
                                              <w:szCs w:val="20"/>
                                            </w:rPr>
                                            <w:t>University of Nebraska Press</w:t>
                                          </w:r>
                                          <w:r>
                                            <w:rPr>
                                              <w:rFonts w:ascii="Arial" w:hAnsi="Arial" w:cs="Arial"/>
                                              <w:color w:val="333333"/>
                                              <w:sz w:val="20"/>
                                              <w:szCs w:val="20"/>
                                            </w:rPr>
                                            <w:t xml:space="preserve"> (all books and journals), </w:t>
                                          </w:r>
                                          <w:r>
                                            <w:rPr>
                                              <w:rStyle w:val="a4"/>
                                              <w:rFonts w:ascii="Arial" w:hAnsi="Arial" w:cs="Arial"/>
                                              <w:color w:val="333333"/>
                                              <w:sz w:val="20"/>
                                              <w:szCs w:val="20"/>
                                            </w:rPr>
                                            <w:t>University of North Carolina Press</w:t>
                                          </w:r>
                                          <w:r>
                                            <w:rPr>
                                              <w:rFonts w:ascii="Arial" w:hAnsi="Arial" w:cs="Arial"/>
                                              <w:color w:val="333333"/>
                                              <w:sz w:val="20"/>
                                              <w:szCs w:val="20"/>
                                            </w:rPr>
                                            <w:t xml:space="preserve"> (all books), </w:t>
                                          </w:r>
                                          <w:r>
                                            <w:rPr>
                                              <w:rStyle w:val="a4"/>
                                              <w:rFonts w:ascii="Arial" w:hAnsi="Arial" w:cs="Arial"/>
                                              <w:color w:val="333333"/>
                                              <w:sz w:val="20"/>
                                              <w:szCs w:val="20"/>
                                            </w:rPr>
                                            <w:t>Temple University Press</w:t>
                                          </w:r>
                                          <w:r>
                                            <w:rPr>
                                              <w:rFonts w:ascii="Arial" w:hAnsi="Arial" w:cs="Arial"/>
                                              <w:color w:val="333333"/>
                                              <w:sz w:val="20"/>
                                              <w:szCs w:val="20"/>
                                            </w:rPr>
                                            <w:t xml:space="preserve"> (all books), and </w:t>
                                          </w:r>
                                          <w:r>
                                            <w:rPr>
                                              <w:rStyle w:val="a4"/>
                                              <w:rFonts w:ascii="Arial" w:hAnsi="Arial" w:cs="Arial"/>
                                              <w:color w:val="333333"/>
                                              <w:sz w:val="20"/>
                                              <w:szCs w:val="20"/>
                                            </w:rPr>
                                            <w:t>Vanderbilt University Press</w:t>
                                          </w:r>
                                          <w:r>
                                            <w:rPr>
                                              <w:rFonts w:ascii="Arial" w:hAnsi="Arial" w:cs="Arial"/>
                                              <w:color w:val="333333"/>
                                              <w:sz w:val="20"/>
                                              <w:szCs w:val="20"/>
                                            </w:rPr>
                                            <w:t xml:space="preserve"> (selected books). We expect to announce additional participants and will contin</w:t>
                                          </w:r>
                                          <w:r>
                                            <w:rPr>
                                              <w:rFonts w:ascii="Arial" w:hAnsi="Arial" w:cs="Arial"/>
                                              <w:color w:val="333333"/>
                                              <w:sz w:val="20"/>
                                              <w:szCs w:val="20"/>
                                              <w:u w:val="single"/>
                                            </w:rPr>
                                            <w:t xml:space="preserve">ually update the </w:t>
                                          </w:r>
                                          <w:hyperlink r:id="rId8" w:tooltip="Free Resources on MUSE During COVID-19" w:history="1">
                                            <w:r>
                                              <w:rPr>
                                                <w:rStyle w:val="a3"/>
                                                <w:sz w:val="20"/>
                                                <w:szCs w:val="20"/>
                                              </w:rPr>
                                              <w:t>list of publishers offering free access to content</w:t>
                                            </w:r>
                                          </w:hyperlink>
                                          <w:r>
                                            <w:rPr>
                                              <w:rFonts w:ascii="Arial" w:hAnsi="Arial" w:cs="Arial"/>
                                              <w:color w:val="333333"/>
                                              <w:sz w:val="20"/>
                                              <w:szCs w:val="20"/>
                                              <w:u w:val="single"/>
                                            </w:rPr>
                                            <w:t>.</w:t>
                                          </w:r>
                                          <w:r>
                                            <w:rPr>
                                              <w:rFonts w:ascii="Arial" w:hAnsi="Arial" w:cs="Arial"/>
                                              <w:color w:val="333333"/>
                                              <w:sz w:val="20"/>
                                              <w:szCs w:val="20"/>
                                            </w:rPr>
                                            <w:br/>
                                          </w:r>
                                          <w:r>
                                            <w:rPr>
                                              <w:rFonts w:ascii="Arial" w:hAnsi="Arial" w:cs="Arial"/>
                                              <w:color w:val="333333"/>
                                              <w:sz w:val="20"/>
                                              <w:szCs w:val="20"/>
                                            </w:rPr>
                                            <w:br/>
                                            <w:t xml:space="preserve">"These are turbulent and challenging times. Above all, we are committed to ensuring that students and researchers around the world can access information from our books and journals easily," said Donna Shear, Director, </w:t>
                                          </w:r>
                                          <w:proofErr w:type="gramStart"/>
                                          <w:r>
                                            <w:rPr>
                                              <w:rFonts w:ascii="Arial" w:hAnsi="Arial" w:cs="Arial"/>
                                              <w:color w:val="333333"/>
                                              <w:sz w:val="20"/>
                                              <w:szCs w:val="20"/>
                                            </w:rPr>
                                            <w:t>University</w:t>
                                          </w:r>
                                          <w:proofErr w:type="gramEnd"/>
                                          <w:r>
                                            <w:rPr>
                                              <w:rFonts w:ascii="Arial" w:hAnsi="Arial" w:cs="Arial"/>
                                              <w:color w:val="333333"/>
                                              <w:sz w:val="20"/>
                                              <w:szCs w:val="20"/>
                                            </w:rPr>
                                            <w:t xml:space="preserve"> of Nebraska Press. "Enabling this through making our content on Project MUSE open for the next few months is one important way to do that."</w:t>
                                          </w:r>
                                        </w:p>
                                        <w:p w:rsidR="0093355A" w:rsidRDefault="0093355A">
                                          <w:pPr>
                                            <w:rPr>
                                              <w:rFonts w:ascii="Arial" w:hAnsi="Arial" w:cs="Arial"/>
                                              <w:color w:val="333333"/>
                                              <w:sz w:val="20"/>
                                              <w:szCs w:val="20"/>
                                            </w:rPr>
                                          </w:pPr>
                                          <w:r>
                                            <w:rPr>
                                              <w:rFonts w:ascii="Arial" w:hAnsi="Arial" w:cs="Arial"/>
                                              <w:color w:val="333333"/>
                                              <w:sz w:val="20"/>
                                              <w:szCs w:val="20"/>
                                            </w:rPr>
                                            <w:br/>
                                            <w:t xml:space="preserve">"The COVID-19 pandemic presents an unprecedented challenge to the global scholarly ecosystem and its institutions. This move is our way of helping to ease the burden on students and instructors so that they can continue research and coursework as smoothly as possible, as well as to honor the work of our authors in making their research available when the world needs nuanced and rigorous scholarship the most," said Tony </w:t>
                                          </w:r>
                                          <w:proofErr w:type="spellStart"/>
                                          <w:r>
                                            <w:rPr>
                                              <w:rFonts w:ascii="Arial" w:hAnsi="Arial" w:cs="Arial"/>
                                              <w:color w:val="333333"/>
                                              <w:sz w:val="20"/>
                                              <w:szCs w:val="20"/>
                                            </w:rPr>
                                            <w:t>Sanfilippo</w:t>
                                          </w:r>
                                          <w:proofErr w:type="spellEnd"/>
                                          <w:r>
                                            <w:rPr>
                                              <w:rFonts w:ascii="Arial" w:hAnsi="Arial" w:cs="Arial"/>
                                              <w:color w:val="333333"/>
                                              <w:sz w:val="20"/>
                                              <w:szCs w:val="20"/>
                                            </w:rPr>
                                            <w:t>, Director, Ohio State University Press Director.</w:t>
                                          </w:r>
                                          <w:r>
                                            <w:rPr>
                                              <w:rFonts w:ascii="Arial" w:hAnsi="Arial" w:cs="Arial"/>
                                              <w:color w:val="333333"/>
                                              <w:sz w:val="20"/>
                                              <w:szCs w:val="20"/>
                                            </w:rPr>
                                            <w:br/>
                                          </w:r>
                                          <w:r>
                                            <w:rPr>
                                              <w:rFonts w:ascii="Arial" w:hAnsi="Arial" w:cs="Arial"/>
                                              <w:color w:val="333333"/>
                                              <w:sz w:val="20"/>
                                              <w:szCs w:val="20"/>
                                            </w:rPr>
                                            <w:br/>
                                            <w:t xml:space="preserve">Content that is freely available on the Project MUSE platform during the COVID-19 crisis will display a distinctive "Free" icon, different from the "OA" icon used for fully open access content on MUSE, or the familiar green checkmark that users associate with content held by their library. </w:t>
                                          </w:r>
                                          <w:hyperlink r:id="rId9" w:tooltip="Project MUSE Search" w:history="1">
                                            <w:r>
                                              <w:rPr>
                                                <w:rStyle w:val="a3"/>
                                                <w:sz w:val="20"/>
                                                <w:szCs w:val="20"/>
                                              </w:rPr>
                                              <w:t>MUSE search results</w:t>
                                            </w:r>
                                          </w:hyperlink>
                                          <w:r>
                                            <w:rPr>
                                              <w:rFonts w:ascii="Arial" w:hAnsi="Arial" w:cs="Arial"/>
                                              <w:color w:val="333333"/>
                                              <w:sz w:val="20"/>
                                              <w:szCs w:val="20"/>
                                            </w:rPr>
                                            <w:t xml:space="preserve">, by default, include any content to which a user has access, so will offer the researcher any relevant free, OA, or entitled articles and books.  There are over </w:t>
                                          </w:r>
                                          <w:hyperlink r:id="rId10" w:tooltip="Open Access on MUSE" w:history="1">
                                            <w:r>
                                              <w:rPr>
                                                <w:rStyle w:val="a3"/>
                                                <w:sz w:val="20"/>
                                                <w:szCs w:val="20"/>
                                              </w:rPr>
                                              <w:t>2000 open access books and a small number of fully OA journals</w:t>
                                            </w:r>
                                          </w:hyperlink>
                                          <w:r>
                                            <w:rPr>
                                              <w:rFonts w:ascii="Arial" w:hAnsi="Arial" w:cs="Arial"/>
                                              <w:color w:val="333333"/>
                                              <w:sz w:val="20"/>
                                              <w:szCs w:val="20"/>
                                            </w:rPr>
                                            <w:t xml:space="preserve"> on the MUSE platform.</w:t>
                                          </w:r>
                                          <w:r>
                                            <w:rPr>
                                              <w:rFonts w:ascii="Arial" w:hAnsi="Arial" w:cs="Arial"/>
                                              <w:color w:val="333333"/>
                                              <w:sz w:val="20"/>
                                              <w:szCs w:val="20"/>
                                            </w:rPr>
                                            <w:br/>
                                          </w:r>
                                          <w:r>
                                            <w:rPr>
                                              <w:rFonts w:ascii="Arial" w:hAnsi="Arial" w:cs="Arial"/>
                                              <w:color w:val="333333"/>
                                              <w:sz w:val="20"/>
                                              <w:szCs w:val="20"/>
                                            </w:rPr>
                                            <w:br/>
                                            <w:t xml:space="preserve">"Serving the needs of libraries, publishers, and scholars has been core to the MUSE mission since day one," said Wendy Queen, Director, </w:t>
                                          </w:r>
                                          <w:proofErr w:type="gramStart"/>
                                          <w:r>
                                            <w:rPr>
                                              <w:rFonts w:ascii="Arial" w:hAnsi="Arial" w:cs="Arial"/>
                                              <w:color w:val="333333"/>
                                              <w:sz w:val="20"/>
                                              <w:szCs w:val="20"/>
                                            </w:rPr>
                                            <w:t>Project</w:t>
                                          </w:r>
                                          <w:proofErr w:type="gramEnd"/>
                                          <w:r>
                                            <w:rPr>
                                              <w:rFonts w:ascii="Arial" w:hAnsi="Arial" w:cs="Arial"/>
                                              <w:color w:val="333333"/>
                                              <w:sz w:val="20"/>
                                              <w:szCs w:val="20"/>
                                            </w:rPr>
                                            <w:t xml:space="preserve"> MUSE. "The global COVID-19 pandemic has resulted in enormous and rapid changes to the lives of all our constituents, with new methods of communicating and doing our work to which we must adapt daily. MUSE is grateful for the opportunity to support our community through this crisis, as a hub to connect users and the content they need, wherever they may safely do so."</w:t>
                                          </w:r>
                                          <w:r>
                                            <w:rPr>
                                              <w:rFonts w:ascii="Arial" w:hAnsi="Arial" w:cs="Arial"/>
                                              <w:color w:val="333333"/>
                                              <w:sz w:val="20"/>
                                              <w:szCs w:val="20"/>
                                            </w:rPr>
                                            <w:br/>
                                          </w:r>
                                          <w:r>
                                            <w:rPr>
                                              <w:rFonts w:ascii="Arial" w:hAnsi="Arial" w:cs="Arial"/>
                                              <w:color w:val="333333"/>
                                              <w:sz w:val="20"/>
                                              <w:szCs w:val="20"/>
                                            </w:rPr>
                                            <w:br/>
                                            <w:t xml:space="preserve">"This is an extraordinary moment. Pedagogy and research are sprinting swiftly to online platforms, while at the same time, we’re devolving into an increasingly unstable economic environment," said John </w:t>
                                          </w:r>
                                          <w:proofErr w:type="spellStart"/>
                                          <w:r>
                                            <w:rPr>
                                              <w:rFonts w:ascii="Arial" w:hAnsi="Arial" w:cs="Arial"/>
                                              <w:color w:val="333333"/>
                                              <w:sz w:val="20"/>
                                              <w:szCs w:val="20"/>
                                            </w:rPr>
                                            <w:t>Sherer</w:t>
                                          </w:r>
                                          <w:proofErr w:type="spellEnd"/>
                                          <w:r>
                                            <w:rPr>
                                              <w:rFonts w:ascii="Arial" w:hAnsi="Arial" w:cs="Arial"/>
                                              <w:color w:val="333333"/>
                                              <w:sz w:val="20"/>
                                              <w:szCs w:val="20"/>
                                            </w:rPr>
                                            <w:t xml:space="preserve">, Director, University of North Carolina Press. "Nevertheless, we at UNC Press are compelled to remove the </w:t>
                                          </w:r>
                                          <w:r>
                                            <w:rPr>
                                              <w:rFonts w:ascii="Arial" w:hAnsi="Arial" w:cs="Arial"/>
                                              <w:color w:val="333333"/>
                                              <w:sz w:val="20"/>
                                              <w:szCs w:val="20"/>
                                            </w:rPr>
                                            <w:lastRenderedPageBreak/>
                                            <w:t>paywalls from the scholarship that we have in platforms like Project MUSE. My hope is that by making it easy and inexpensive to utilize these resources now, libraries, students, teachers, and administrators will realize the enormous value in these kinds of collections. And, when the current crisis has passed, they will dedicate the resources needed to support them."</w:t>
                                          </w:r>
                                          <w:r>
                                            <w:rPr>
                                              <w:rFonts w:ascii="Arial" w:hAnsi="Arial" w:cs="Arial"/>
                                              <w:color w:val="333333"/>
                                              <w:sz w:val="20"/>
                                              <w:szCs w:val="20"/>
                                            </w:rPr>
                                            <w:br/>
                                          </w:r>
                                          <w:r>
                                            <w:rPr>
                                              <w:rFonts w:ascii="Arial" w:hAnsi="Arial" w:cs="Arial"/>
                                              <w:color w:val="333333"/>
                                              <w:sz w:val="20"/>
                                              <w:szCs w:val="20"/>
                                            </w:rPr>
                                            <w:br/>
                                            <w:t xml:space="preserve">Project MUSE has a robust continuity plan in place and does not anticipate any significant disruption to our service as a result of the COVID-19 crisis. MUSE staff are available as we transition to a remote work environment, and we encourage communicating any concerns or questions to </w:t>
                                          </w:r>
                                          <w:hyperlink r:id="rId11" w:history="1">
                                            <w:r>
                                              <w:rPr>
                                                <w:rStyle w:val="a3"/>
                                                <w:sz w:val="20"/>
                                                <w:szCs w:val="20"/>
                                              </w:rPr>
                                              <w:t>Customer Support</w:t>
                                            </w:r>
                                          </w:hyperlink>
                                          <w:r>
                                            <w:rPr>
                                              <w:rFonts w:ascii="Arial" w:hAnsi="Arial" w:cs="Arial"/>
                                              <w:color w:val="333333"/>
                                              <w:sz w:val="20"/>
                                              <w:szCs w:val="20"/>
                                            </w:rPr>
                                            <w:t xml:space="preserve">. </w:t>
                                          </w:r>
                                        </w:p>
                                      </w:tc>
                                    </w:tr>
                                  </w:tbl>
                                  <w:p w:rsidR="0093355A" w:rsidRDefault="0093355A">
                                    <w:pPr>
                                      <w:rPr>
                                        <w:rFonts w:ascii="Times New Roman" w:hAnsi="Times New Roman" w:cs="Times New Roman"/>
                                        <w:sz w:val="20"/>
                                        <w:szCs w:val="20"/>
                                      </w:rPr>
                                    </w:pPr>
                                  </w:p>
                                </w:tc>
                              </w:tr>
                            </w:tbl>
                            <w:p w:rsidR="0093355A" w:rsidRDefault="0093355A">
                              <w:pPr>
                                <w:rPr>
                                  <w:rFonts w:ascii="Times New Roman" w:hAnsi="Times New Roman" w:cs="Times New Roman"/>
                                  <w:sz w:val="20"/>
                                  <w:szCs w:val="20"/>
                                </w:rPr>
                              </w:pPr>
                            </w:p>
                          </w:tc>
                        </w:tr>
                      </w:tbl>
                      <w:p w:rsidR="0093355A" w:rsidRDefault="0093355A">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184"/>
                                          </w:tblGrid>
                                          <w:tr w:rsidR="0093355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011"/>
                                                  <w:gridCol w:w="156"/>
                                                  <w:gridCol w:w="156"/>
                                                  <w:gridCol w:w="3861"/>
                                                </w:tblGrid>
                                                <w:tr w:rsidR="0093355A" w:rsidTr="0093355A">
                                                  <w:trPr>
                                                    <w:tblCellSpacing w:w="0" w:type="dxa"/>
                                                  </w:trPr>
                                                  <w:tc>
                                                    <w:tcPr>
                                                      <w:tcW w:w="0" w:type="auto"/>
                                                      <w:tcMar>
                                                        <w:top w:w="150" w:type="dxa"/>
                                                        <w:left w:w="3855" w:type="dxa"/>
                                                        <w:bottom w:w="150" w:type="dxa"/>
                                                        <w:right w:w="150" w:type="dxa"/>
                                                      </w:tcMar>
                                                    </w:tcPr>
                                                    <w:p w:rsidR="0093355A" w:rsidRDefault="0093355A">
                                                      <w:pPr>
                                                        <w:jc w:val="center"/>
                                                        <w:rPr>
                                                          <w:rFonts w:ascii="Arial" w:hAnsi="Arial" w:cs="Arial"/>
                                                          <w:sz w:val="18"/>
                                                          <w:szCs w:val="18"/>
                                                        </w:rPr>
                                                      </w:pPr>
                                                    </w:p>
                                                  </w:tc>
                                                  <w:tc>
                                                    <w:tcPr>
                                                      <w:tcW w:w="0" w:type="auto"/>
                                                      <w:tcMar>
                                                        <w:top w:w="150" w:type="dxa"/>
                                                        <w:left w:w="0" w:type="dxa"/>
                                                        <w:bottom w:w="150" w:type="dxa"/>
                                                        <w:right w:w="150" w:type="dxa"/>
                                                      </w:tcMar>
                                                    </w:tcPr>
                                                    <w:p w:rsidR="0093355A" w:rsidRDefault="0093355A">
                                                      <w:pPr>
                                                        <w:jc w:val="center"/>
                                                        <w:rPr>
                                                          <w:rFonts w:ascii="Arial" w:hAnsi="Arial" w:cs="Arial"/>
                                                          <w:sz w:val="18"/>
                                                          <w:szCs w:val="18"/>
                                                        </w:rPr>
                                                      </w:pPr>
                                                    </w:p>
                                                  </w:tc>
                                                  <w:tc>
                                                    <w:tcPr>
                                                      <w:tcW w:w="0" w:type="auto"/>
                                                      <w:tcMar>
                                                        <w:top w:w="150" w:type="dxa"/>
                                                        <w:left w:w="0" w:type="dxa"/>
                                                        <w:bottom w:w="150" w:type="dxa"/>
                                                        <w:right w:w="150" w:type="dxa"/>
                                                      </w:tcMar>
                                                    </w:tcPr>
                                                    <w:p w:rsidR="0093355A" w:rsidRDefault="0093355A">
                                                      <w:pPr>
                                                        <w:jc w:val="center"/>
                                                        <w:rPr>
                                                          <w:rFonts w:ascii="Arial" w:hAnsi="Arial" w:cs="Arial"/>
                                                          <w:sz w:val="18"/>
                                                          <w:szCs w:val="18"/>
                                                        </w:rPr>
                                                      </w:pPr>
                                                    </w:p>
                                                  </w:tc>
                                                  <w:tc>
                                                    <w:tcPr>
                                                      <w:tcW w:w="0" w:type="auto"/>
                                                      <w:tcMar>
                                                        <w:top w:w="150" w:type="dxa"/>
                                                        <w:left w:w="0" w:type="dxa"/>
                                                        <w:bottom w:w="150" w:type="dxa"/>
                                                        <w:right w:w="3855" w:type="dxa"/>
                                                      </w:tcMar>
                                                    </w:tcPr>
                                                    <w:p w:rsidR="0093355A" w:rsidRDefault="0093355A">
                                                      <w:pPr>
                                                        <w:jc w:val="center"/>
                                                        <w:rPr>
                                                          <w:rFonts w:ascii="Arial" w:hAnsi="Arial" w:cs="Arial"/>
                                                          <w:sz w:val="18"/>
                                                          <w:szCs w:val="18"/>
                                                        </w:rPr>
                                                      </w:pPr>
                                                    </w:p>
                                                  </w:tc>
                                                </w:tr>
                                              </w:tbl>
                                              <w:p w:rsidR="0093355A" w:rsidRDefault="0093355A">
                                                <w:pPr>
                                                  <w:rPr>
                                                    <w:rFonts w:ascii="Times New Roman" w:hAnsi="Times New Roman" w:cs="Times New Roman"/>
                                                    <w:sz w:val="20"/>
                                                    <w:szCs w:val="20"/>
                                                  </w:rPr>
                                                </w:pPr>
                                              </w:p>
                                            </w:tc>
                                          </w:tr>
                                        </w:tbl>
                                        <w:p w:rsidR="0093355A" w:rsidRDefault="0093355A">
                                          <w:pPr>
                                            <w:rPr>
                                              <w:rFonts w:ascii="Times New Roman" w:hAnsi="Times New Roman" w:cs="Times New Roman"/>
                                              <w:sz w:val="20"/>
                                              <w:szCs w:val="20"/>
                                            </w:rPr>
                                          </w:pPr>
                                        </w:p>
                                      </w:tc>
                                    </w:tr>
                                  </w:tbl>
                                  <w:p w:rsidR="0093355A" w:rsidRDefault="0093355A">
                                    <w:pPr>
                                      <w:rPr>
                                        <w:rFonts w:ascii="Times New Roman" w:hAnsi="Times New Roman" w:cs="Times New Roman"/>
                                        <w:sz w:val="20"/>
                                        <w:szCs w:val="20"/>
                                      </w:rPr>
                                    </w:pPr>
                                  </w:p>
                                </w:tc>
                              </w:tr>
                            </w:tbl>
                            <w:p w:rsidR="0093355A" w:rsidRDefault="0093355A">
                              <w:pPr>
                                <w:rPr>
                                  <w:rFonts w:ascii="Arial" w:hAnsi="Arial" w:cs="Arial"/>
                                  <w:sz w:val="18"/>
                                  <w:szCs w:val="18"/>
                                </w:rPr>
                              </w:pPr>
                            </w:p>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93355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06"/>
                                          </w:tblGrid>
                                          <w:tr w:rsidR="0093355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06"/>
                                                </w:tblGrid>
                                                <w:tr w:rsidR="0093355A">
                                                  <w:trPr>
                                                    <w:tblCellSpacing w:w="0" w:type="dxa"/>
                                                  </w:trPr>
                                                  <w:tc>
                                                    <w:tcPr>
                                                      <w:tcW w:w="0" w:type="auto"/>
                                                      <w:tcMar>
                                                        <w:top w:w="0" w:type="dxa"/>
                                                        <w:left w:w="150" w:type="dxa"/>
                                                        <w:bottom w:w="0" w:type="dxa"/>
                                                        <w:right w:w="150" w:type="dxa"/>
                                                      </w:tcMar>
                                                      <w:hideMark/>
                                                    </w:tcPr>
                                                    <w:p w:rsidR="0093355A" w:rsidRDefault="0093355A">
                                                      <w:pPr>
                                                        <w:jc w:val="center"/>
                                                        <w:rPr>
                                                          <w:rFonts w:ascii="Arial" w:hAnsi="Arial" w:cs="Arial"/>
                                                          <w:sz w:val="18"/>
                                                          <w:szCs w:val="18"/>
                                                        </w:rPr>
                                                      </w:pPr>
                                                    </w:p>
                                                  </w:tc>
                                                </w:tr>
                                              </w:tbl>
                                              <w:p w:rsidR="0093355A" w:rsidRDefault="0093355A">
                                                <w:pPr>
                                                  <w:rPr>
                                                    <w:rFonts w:ascii="Times New Roman" w:hAnsi="Times New Roman" w:cs="Times New Roman"/>
                                                    <w:sz w:val="20"/>
                                                    <w:szCs w:val="20"/>
                                                  </w:rPr>
                                                </w:pPr>
                                              </w:p>
                                            </w:tc>
                                          </w:tr>
                                        </w:tbl>
                                        <w:p w:rsidR="0093355A" w:rsidRDefault="0093355A">
                                          <w:pPr>
                                            <w:rPr>
                                              <w:rFonts w:ascii="Times New Roman" w:hAnsi="Times New Roman" w:cs="Times New Roman"/>
                                              <w:sz w:val="20"/>
                                              <w:szCs w:val="20"/>
                                            </w:rPr>
                                          </w:pPr>
                                        </w:p>
                                      </w:tc>
                                    </w:tr>
                                  </w:tbl>
                                  <w:p w:rsidR="0093355A" w:rsidRDefault="0093355A">
                                    <w:pPr>
                                      <w:rPr>
                                        <w:rFonts w:ascii="Times New Roman" w:hAnsi="Times New Roman" w:cs="Times New Roman"/>
                                        <w:sz w:val="20"/>
                                        <w:szCs w:val="20"/>
                                      </w:rPr>
                                    </w:pPr>
                                  </w:p>
                                </w:tc>
                              </w:tr>
                            </w:tbl>
                            <w:p w:rsidR="0093355A" w:rsidRDefault="0093355A">
                              <w:pPr>
                                <w:rPr>
                                  <w:rFonts w:ascii="굴림" w:hAnsi="굴림"/>
                                  <w:sz w:val="24"/>
                                  <w:szCs w:val="24"/>
                                </w:rPr>
                              </w:pPr>
                            </w:p>
                          </w:tc>
                        </w:tr>
                        <w:tr w:rsidR="0093355A">
                          <w:trPr>
                            <w:tblCellSpacing w:w="0" w:type="dxa"/>
                          </w:trPr>
                          <w:tc>
                            <w:tcPr>
                              <w:tcW w:w="0" w:type="auto"/>
                              <w:vAlign w:val="center"/>
                              <w:hideMark/>
                            </w:tcPr>
                            <w:p w:rsidR="0093355A" w:rsidRDefault="0093355A">
                              <w:pPr>
                                <w:rPr>
                                  <w:rFonts w:ascii="굴림" w:hAnsi="굴림" w:hint="eastAsia"/>
                                  <w:sz w:val="24"/>
                                  <w:szCs w:val="24"/>
                                </w:rPr>
                              </w:pPr>
                            </w:p>
                          </w:tc>
                        </w:tr>
                      </w:tbl>
                      <w:p w:rsidR="0093355A" w:rsidRDefault="0093355A">
                        <w:pPr>
                          <w:rPr>
                            <w:rFonts w:ascii="굴림" w:hAnsi="굴림"/>
                            <w:sz w:val="24"/>
                            <w:szCs w:val="24"/>
                          </w:rPr>
                        </w:pPr>
                      </w:p>
                    </w:tc>
                  </w:tr>
                </w:tbl>
                <w:p w:rsidR="0093355A" w:rsidRDefault="0093355A">
                  <w:pPr>
                    <w:rPr>
                      <w:rFonts w:ascii="Times New Roman" w:hAnsi="Times New Roman" w:cs="Times New Roman" w:hint="eastAsia"/>
                      <w:sz w:val="20"/>
                      <w:szCs w:val="20"/>
                    </w:rPr>
                  </w:pPr>
                </w:p>
              </w:tc>
            </w:tr>
            <w:tr w:rsidR="0093355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93355A">
                    <w:trPr>
                      <w:tblCellSpacing w:w="0" w:type="dxa"/>
                      <w:jc w:val="center"/>
                    </w:trPr>
                    <w:tc>
                      <w:tcPr>
                        <w:tcW w:w="0" w:type="auto"/>
                        <w:tcMar>
                          <w:top w:w="150" w:type="dxa"/>
                          <w:left w:w="150" w:type="dxa"/>
                          <w:bottom w:w="150" w:type="dxa"/>
                          <w:right w:w="150" w:type="dxa"/>
                        </w:tcMar>
                        <w:vAlign w:val="center"/>
                      </w:tcPr>
                      <w:p w:rsidR="0093355A" w:rsidRDefault="0093355A">
                        <w:pPr>
                          <w:jc w:val="center"/>
                          <w:rPr>
                            <w:rFonts w:ascii="Arial" w:hAnsi="Arial" w:cs="Arial"/>
                            <w:sz w:val="18"/>
                            <w:szCs w:val="18"/>
                          </w:rPr>
                        </w:pPr>
                      </w:p>
                    </w:tc>
                  </w:tr>
                </w:tbl>
                <w:p w:rsidR="0093355A" w:rsidRDefault="0093355A">
                  <w:pPr>
                    <w:jc w:val="center"/>
                    <w:rPr>
                      <w:rFonts w:ascii="Times New Roman" w:hAnsi="Times New Roman" w:cs="Times New Roman"/>
                      <w:sz w:val="20"/>
                      <w:szCs w:val="20"/>
                    </w:rPr>
                  </w:pPr>
                </w:p>
              </w:tc>
            </w:tr>
          </w:tbl>
          <w:p w:rsidR="0093355A" w:rsidRDefault="0093355A">
            <w:pPr>
              <w:jc w:val="center"/>
              <w:rPr>
                <w:rFonts w:ascii="Times New Roman" w:hAnsi="Times New Roman" w:cs="Times New Roman"/>
                <w:sz w:val="20"/>
                <w:szCs w:val="20"/>
              </w:rPr>
            </w:pPr>
          </w:p>
        </w:tc>
      </w:tr>
    </w:tbl>
    <w:p w:rsidR="0093355A" w:rsidRDefault="0093355A" w:rsidP="0093355A">
      <w:pPr>
        <w:rPr>
          <w:rFonts w:ascii="맑은 고딕" w:eastAsia="맑은 고딕" w:hAnsi="맑은 고딕" w:hint="eastAsia"/>
          <w:sz w:val="20"/>
          <w:szCs w:val="20"/>
        </w:rPr>
      </w:pPr>
    </w:p>
    <w:sectPr w:rsidR="0093355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A"/>
    <w:rsid w:val="00237F22"/>
    <w:rsid w:val="00555181"/>
    <w:rsid w:val="00757BB0"/>
    <w:rsid w:val="007F7899"/>
    <w:rsid w:val="008473C6"/>
    <w:rsid w:val="009335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398"/>
  <w15:chartTrackingRefBased/>
  <w15:docId w15:val="{2D3CC5FC-385C-4F4B-9882-08D76CBA2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55A"/>
    <w:pPr>
      <w:spacing w:after="0" w:line="240" w:lineRule="auto"/>
      <w:jc w:val="left"/>
    </w:pPr>
    <w:rPr>
      <w:rFonts w:ascii="Calibri" w:eastAsia="굴림" w:hAnsi="Calibri" w:cs="Calibri"/>
      <w:kern w:val="0"/>
      <w:sz w:val="22"/>
    </w:rPr>
  </w:style>
  <w:style w:type="paragraph" w:styleId="1">
    <w:name w:val="heading 1"/>
    <w:basedOn w:val="a"/>
    <w:link w:val="1Char"/>
    <w:uiPriority w:val="9"/>
    <w:qFormat/>
    <w:rsid w:val="0093355A"/>
    <w:pPr>
      <w:outlineLvl w:val="0"/>
    </w:pPr>
    <w:rPr>
      <w:rFonts w:ascii="Arial" w:hAnsi="Arial" w:cs="Arial"/>
      <w:color w:val="333333"/>
      <w:kern w:val="36"/>
      <w:sz w:val="39"/>
      <w:szCs w:val="3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55A"/>
    <w:rPr>
      <w:color w:val="0000FF"/>
      <w:u w:val="single"/>
    </w:rPr>
  </w:style>
  <w:style w:type="character" w:customStyle="1" w:styleId="1Char">
    <w:name w:val="제목 1 Char"/>
    <w:basedOn w:val="a0"/>
    <w:link w:val="1"/>
    <w:uiPriority w:val="9"/>
    <w:rsid w:val="0093355A"/>
    <w:rPr>
      <w:rFonts w:ascii="Arial" w:eastAsia="굴림" w:hAnsi="Arial" w:cs="Arial"/>
      <w:color w:val="333333"/>
      <w:kern w:val="36"/>
      <w:sz w:val="39"/>
      <w:szCs w:val="39"/>
    </w:rPr>
  </w:style>
  <w:style w:type="character" w:customStyle="1" w:styleId="e2ma-style">
    <w:name w:val="e2ma-style"/>
    <w:basedOn w:val="a0"/>
    <w:rsid w:val="0093355A"/>
  </w:style>
  <w:style w:type="character" w:styleId="a4">
    <w:name w:val="Strong"/>
    <w:basedOn w:val="a0"/>
    <w:uiPriority w:val="22"/>
    <w:qFormat/>
    <w:rsid w:val="009335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85423">
      <w:bodyDiv w:val="1"/>
      <w:marLeft w:val="0"/>
      <w:marRight w:val="0"/>
      <w:marTop w:val="0"/>
      <w:marBottom w:val="0"/>
      <w:divBdr>
        <w:top w:val="none" w:sz="0" w:space="0" w:color="auto"/>
        <w:left w:val="none" w:sz="0" w:space="0" w:color="auto"/>
        <w:bottom w:val="none" w:sz="0" w:space="0" w:color="auto"/>
        <w:right w:val="none" w:sz="0" w:space="0" w:color="auto"/>
      </w:divBdr>
    </w:div>
    <w:div w:id="20062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hfmhpg/p5jjsyb/t80pwj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2ma.net/click/hfmhpg/p5jjsyb/dg0pwj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2ma.net/click/hfmhpg/p5jjsyb/xnzpwjb" TargetMode="External"/><Relationship Id="rId11" Type="http://schemas.openxmlformats.org/officeDocument/2006/relationships/hyperlink" Target="mailto:muse@press.jhu.edu" TargetMode="External"/><Relationship Id="rId5" Type="http://schemas.openxmlformats.org/officeDocument/2006/relationships/image" Target="media/image1.png"/><Relationship Id="rId10" Type="http://schemas.openxmlformats.org/officeDocument/2006/relationships/hyperlink" Target="https://t.e2ma.net/click/hfmhpg/p5jjsyb/pt2pwjb" TargetMode="External"/><Relationship Id="rId4" Type="http://schemas.openxmlformats.org/officeDocument/2006/relationships/hyperlink" Target="https://t.e2ma.net/click/hfmhpg/p5jjsyb/hvypwjb" TargetMode="External"/><Relationship Id="rId9" Type="http://schemas.openxmlformats.org/officeDocument/2006/relationships/hyperlink" Target="https://t.e2ma.net/click/hfmhpg/p5jjsyb/901pwjb"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4014</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2020-03-19T06:12:00Z</dcterms:created>
  <dcterms:modified xsi:type="dcterms:W3CDTF">2020-03-19T06:12:00Z</dcterms:modified>
</cp:coreProperties>
</file>